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238C" w14:textId="77777777" w:rsidR="00966A50" w:rsidRDefault="00966A50" w:rsidP="00966A50">
      <w:pPr>
        <w:jc w:val="center"/>
        <w:rPr>
          <w:b/>
          <w:sz w:val="28"/>
          <w:szCs w:val="28"/>
          <w:u w:val="single"/>
        </w:rPr>
      </w:pPr>
      <w:r>
        <w:rPr>
          <w:b/>
          <w:sz w:val="28"/>
          <w:szCs w:val="28"/>
          <w:u w:val="single"/>
        </w:rPr>
        <w:t>Evaluation of Proposals</w:t>
      </w:r>
    </w:p>
    <w:p w14:paraId="7CB88B18" w14:textId="77777777" w:rsidR="00966A50" w:rsidRDefault="00966A50" w:rsidP="00966A50">
      <w:pPr>
        <w:jc w:val="both"/>
        <w:rPr>
          <w:sz w:val="28"/>
          <w:szCs w:val="28"/>
        </w:rPr>
      </w:pPr>
    </w:p>
    <w:p w14:paraId="4EBD24BC" w14:textId="77777777" w:rsidR="00966A50" w:rsidRDefault="00966A50" w:rsidP="00966A50">
      <w:pPr>
        <w:jc w:val="both"/>
      </w:pPr>
    </w:p>
    <w:p w14:paraId="49371471" w14:textId="77777777" w:rsidR="00966A50" w:rsidRDefault="00966A50" w:rsidP="00966A50">
      <w:pPr>
        <w:numPr>
          <w:ilvl w:val="0"/>
          <w:numId w:val="2"/>
        </w:numPr>
        <w:pBdr>
          <w:top w:val="nil"/>
          <w:left w:val="nil"/>
          <w:bottom w:val="nil"/>
          <w:right w:val="nil"/>
          <w:between w:val="nil"/>
        </w:pBdr>
        <w:spacing w:after="120"/>
        <w:rPr>
          <w:color w:val="000000"/>
        </w:rPr>
      </w:pPr>
      <w:r>
        <w:rPr>
          <w:b/>
          <w:color w:val="000000"/>
        </w:rPr>
        <w:t>Evaluation Process</w:t>
      </w:r>
    </w:p>
    <w:p w14:paraId="61180C37" w14:textId="77777777" w:rsidR="00966A50" w:rsidRDefault="00966A50" w:rsidP="00966A50">
      <w:pPr>
        <w:jc w:val="both"/>
      </w:pPr>
      <w:r>
        <w:t xml:space="preserve">Nesta’s team ‘What Works for Children’s Social Care’ will run this competitive procurement process in a manner which is open and transparent and ensures equal treatment of participants in the process. </w:t>
      </w:r>
    </w:p>
    <w:p w14:paraId="729979A9" w14:textId="77777777" w:rsidR="00966A50" w:rsidRDefault="00966A50" w:rsidP="00966A50">
      <w:pPr>
        <w:pBdr>
          <w:top w:val="nil"/>
          <w:left w:val="nil"/>
          <w:bottom w:val="nil"/>
          <w:right w:val="nil"/>
          <w:between w:val="nil"/>
        </w:pBdr>
        <w:spacing w:after="120"/>
        <w:ind w:left="360"/>
        <w:rPr>
          <w:b/>
          <w:color w:val="000000"/>
        </w:rPr>
      </w:pPr>
    </w:p>
    <w:p w14:paraId="04DD46E1" w14:textId="77777777" w:rsidR="00966A50" w:rsidRDefault="00966A50" w:rsidP="00966A50">
      <w:pPr>
        <w:numPr>
          <w:ilvl w:val="1"/>
          <w:numId w:val="2"/>
        </w:numPr>
        <w:pBdr>
          <w:top w:val="nil"/>
          <w:left w:val="nil"/>
          <w:bottom w:val="nil"/>
          <w:right w:val="nil"/>
          <w:between w:val="nil"/>
        </w:pBdr>
        <w:spacing w:after="120"/>
        <w:ind w:left="0" w:firstLine="0"/>
        <w:rPr>
          <w:b/>
          <w:color w:val="000000"/>
        </w:rPr>
      </w:pPr>
      <w:r>
        <w:rPr>
          <w:b/>
          <w:color w:val="000000"/>
        </w:rPr>
        <w:t>Selection Criteria</w:t>
      </w:r>
    </w:p>
    <w:p w14:paraId="37F4CA3B" w14:textId="77777777" w:rsidR="00966A50" w:rsidRDefault="00966A50" w:rsidP="00966A50">
      <w:pPr>
        <w:jc w:val="both"/>
      </w:pPr>
      <w:r>
        <w:t xml:space="preserve">Your proposal will be evaluated against the selection criteria listed below. </w:t>
      </w:r>
    </w:p>
    <w:p w14:paraId="44FEFE84" w14:textId="77777777" w:rsidR="00966A50" w:rsidRDefault="00966A50" w:rsidP="00966A50">
      <w:pPr>
        <w:jc w:val="both"/>
      </w:pPr>
    </w:p>
    <w:p w14:paraId="0576F9EE" w14:textId="77777777" w:rsidR="00966A50" w:rsidRDefault="00966A50" w:rsidP="00966A50">
      <w:pPr>
        <w:rPr>
          <w:b/>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966A50" w14:paraId="0F5683CE" w14:textId="77777777" w:rsidTr="007B1A8E">
        <w:trPr>
          <w:trHeight w:val="240"/>
        </w:trPr>
        <w:tc>
          <w:tcPr>
            <w:tcW w:w="8522" w:type="dxa"/>
            <w:shd w:val="clear" w:color="auto" w:fill="416CBB"/>
          </w:tcPr>
          <w:p w14:paraId="405EC91F" w14:textId="77777777" w:rsidR="00966A50" w:rsidRDefault="00966A50" w:rsidP="007B1A8E">
            <w:pPr>
              <w:spacing w:before="100" w:after="100"/>
              <w:rPr>
                <w:b/>
                <w:color w:val="FFFFFF"/>
              </w:rPr>
            </w:pPr>
            <w:r>
              <w:rPr>
                <w:b/>
                <w:color w:val="FFFFFF"/>
                <w:u w:val="single"/>
              </w:rPr>
              <w:t xml:space="preserve">Selection Criteria </w:t>
            </w:r>
          </w:p>
        </w:tc>
      </w:tr>
      <w:tr w:rsidR="00966A50" w14:paraId="1895CFBA" w14:textId="77777777" w:rsidTr="007B1A8E">
        <w:trPr>
          <w:trHeight w:val="240"/>
        </w:trPr>
        <w:tc>
          <w:tcPr>
            <w:tcW w:w="8522" w:type="dxa"/>
            <w:shd w:val="clear" w:color="auto" w:fill="416CBB"/>
          </w:tcPr>
          <w:p w14:paraId="050B2BA3" w14:textId="77777777" w:rsidR="00966A50" w:rsidRDefault="00966A50" w:rsidP="007B1A8E">
            <w:pPr>
              <w:spacing w:before="100" w:after="100"/>
              <w:rPr>
                <w:color w:val="FFFFFF"/>
              </w:rPr>
            </w:pPr>
            <w:r>
              <w:rPr>
                <w:b/>
                <w:color w:val="FFFFFF"/>
              </w:rPr>
              <w:t xml:space="preserve">1. Experience of organisation </w:t>
            </w:r>
          </w:p>
        </w:tc>
      </w:tr>
      <w:tr w:rsidR="00966A50" w14:paraId="3EA814E7" w14:textId="77777777" w:rsidTr="007B1A8E">
        <w:tc>
          <w:tcPr>
            <w:tcW w:w="8522" w:type="dxa"/>
          </w:tcPr>
          <w:p w14:paraId="464EDF4C" w14:textId="77777777" w:rsidR="00966A50" w:rsidRDefault="00966A50" w:rsidP="007B1A8E">
            <w:pPr>
              <w:spacing w:before="100" w:after="100"/>
              <w:jc w:val="both"/>
            </w:pPr>
            <w:r>
              <w:t>Please provide your organisation’s track record and expertise, including details of experience of completing relevant projects, including size and duration of the contract, type of evaluation conducted, methodologies used etc.</w:t>
            </w:r>
          </w:p>
          <w:p w14:paraId="5AD94072" w14:textId="77777777" w:rsidR="00966A50" w:rsidRDefault="00966A50" w:rsidP="007B1A8E">
            <w:pPr>
              <w:spacing w:before="100" w:after="100"/>
              <w:jc w:val="both"/>
            </w:pPr>
            <w:r>
              <w:t xml:space="preserve">Please provide details of your organisation’s expertise and interest in the following methodologies: </w:t>
            </w:r>
          </w:p>
          <w:p w14:paraId="5B8A4D73" w14:textId="77777777" w:rsidR="00966A50" w:rsidRDefault="00966A50" w:rsidP="00966A50">
            <w:pPr>
              <w:numPr>
                <w:ilvl w:val="0"/>
                <w:numId w:val="1"/>
              </w:numPr>
              <w:jc w:val="both"/>
            </w:pPr>
            <w:r>
              <w:t>Impact evaluation in children’s social care, education or Local Government</w:t>
            </w:r>
          </w:p>
          <w:p w14:paraId="63CA0E2A" w14:textId="77777777" w:rsidR="00966A50" w:rsidRDefault="00966A50" w:rsidP="00966A50">
            <w:pPr>
              <w:numPr>
                <w:ilvl w:val="0"/>
                <w:numId w:val="1"/>
              </w:numPr>
              <w:jc w:val="both"/>
            </w:pPr>
            <w:r>
              <w:t>Randomised controlled trial design and analysis</w:t>
            </w:r>
          </w:p>
          <w:p w14:paraId="598E55D8" w14:textId="77777777" w:rsidR="00966A50" w:rsidRDefault="00966A50" w:rsidP="00966A50">
            <w:pPr>
              <w:numPr>
                <w:ilvl w:val="0"/>
                <w:numId w:val="1"/>
              </w:numPr>
              <w:jc w:val="both"/>
            </w:pPr>
            <w:r>
              <w:t>Implementation and process evaluation</w:t>
            </w:r>
          </w:p>
          <w:p w14:paraId="44803196" w14:textId="77777777" w:rsidR="00966A50" w:rsidRDefault="00966A50" w:rsidP="00966A50">
            <w:pPr>
              <w:numPr>
                <w:ilvl w:val="0"/>
                <w:numId w:val="1"/>
              </w:numPr>
              <w:jc w:val="both"/>
            </w:pPr>
            <w:r>
              <w:t>Primary data collection</w:t>
            </w:r>
          </w:p>
          <w:p w14:paraId="04FB1379" w14:textId="77777777" w:rsidR="00966A50" w:rsidRDefault="00966A50" w:rsidP="00966A50">
            <w:pPr>
              <w:numPr>
                <w:ilvl w:val="0"/>
                <w:numId w:val="1"/>
              </w:numPr>
              <w:jc w:val="both"/>
            </w:pPr>
            <w:r>
              <w:t>Quasi-experimental methods, including difference in differences and propensity score matching</w:t>
            </w:r>
          </w:p>
          <w:p w14:paraId="2F26C37A" w14:textId="77777777" w:rsidR="00966A50" w:rsidRDefault="00966A50" w:rsidP="00966A50">
            <w:pPr>
              <w:numPr>
                <w:ilvl w:val="0"/>
                <w:numId w:val="1"/>
              </w:numPr>
              <w:jc w:val="both"/>
            </w:pPr>
            <w:r>
              <w:t>Measurement, instrument development and validation, and psychometrics</w:t>
            </w:r>
          </w:p>
          <w:p w14:paraId="7D25F3D6" w14:textId="77777777" w:rsidR="00966A50" w:rsidRDefault="00966A50" w:rsidP="00966A50">
            <w:pPr>
              <w:numPr>
                <w:ilvl w:val="0"/>
                <w:numId w:val="1"/>
              </w:numPr>
              <w:jc w:val="both"/>
            </w:pPr>
            <w:r>
              <w:t>Economic evaluation</w:t>
            </w:r>
          </w:p>
          <w:p w14:paraId="340854C0" w14:textId="77777777" w:rsidR="00966A50" w:rsidRDefault="00966A50" w:rsidP="007B1A8E">
            <w:pPr>
              <w:spacing w:before="100" w:after="100"/>
              <w:rPr>
                <w:b/>
              </w:rPr>
            </w:pPr>
            <w:r>
              <w:t xml:space="preserve">4 pages max. </w:t>
            </w:r>
          </w:p>
        </w:tc>
      </w:tr>
      <w:tr w:rsidR="00966A50" w14:paraId="412639A7" w14:textId="77777777" w:rsidTr="007B1A8E">
        <w:tc>
          <w:tcPr>
            <w:tcW w:w="8522" w:type="dxa"/>
          </w:tcPr>
          <w:p w14:paraId="5136C2E0" w14:textId="77777777" w:rsidR="00966A50" w:rsidRDefault="00966A50" w:rsidP="007B1A8E">
            <w:pPr>
              <w:pBdr>
                <w:top w:val="nil"/>
                <w:left w:val="nil"/>
                <w:bottom w:val="nil"/>
                <w:right w:val="nil"/>
                <w:between w:val="nil"/>
              </w:pBdr>
              <w:spacing w:before="100" w:after="100"/>
              <w:rPr>
                <w:b/>
                <w:color w:val="000000"/>
              </w:rPr>
            </w:pPr>
            <w:r>
              <w:rPr>
                <w:b/>
                <w:color w:val="000000"/>
              </w:rPr>
              <w:t>RESPONSE:</w:t>
            </w:r>
          </w:p>
          <w:p w14:paraId="3CDEE6DD" w14:textId="77777777" w:rsidR="00966A50" w:rsidRDefault="00966A50" w:rsidP="007B1A8E">
            <w:pPr>
              <w:pBdr>
                <w:top w:val="nil"/>
                <w:left w:val="nil"/>
                <w:bottom w:val="nil"/>
                <w:right w:val="nil"/>
                <w:between w:val="nil"/>
              </w:pBdr>
              <w:spacing w:before="100" w:after="100"/>
              <w:rPr>
                <w:b/>
              </w:rPr>
            </w:pPr>
          </w:p>
          <w:p w14:paraId="4E4B7DCE" w14:textId="77777777" w:rsidR="00966A50" w:rsidRDefault="00966A50" w:rsidP="007B1A8E">
            <w:pPr>
              <w:pBdr>
                <w:top w:val="nil"/>
                <w:left w:val="nil"/>
                <w:bottom w:val="nil"/>
                <w:right w:val="nil"/>
                <w:between w:val="nil"/>
              </w:pBdr>
              <w:spacing w:before="100" w:after="100"/>
              <w:rPr>
                <w:b/>
              </w:rPr>
            </w:pPr>
          </w:p>
        </w:tc>
      </w:tr>
      <w:tr w:rsidR="00966A50" w14:paraId="7CB913B7" w14:textId="77777777" w:rsidTr="007B1A8E">
        <w:trPr>
          <w:trHeight w:val="240"/>
        </w:trPr>
        <w:tc>
          <w:tcPr>
            <w:tcW w:w="8522" w:type="dxa"/>
            <w:shd w:val="clear" w:color="auto" w:fill="416CBB"/>
          </w:tcPr>
          <w:p w14:paraId="727E9222" w14:textId="77777777" w:rsidR="00966A50" w:rsidRDefault="00966A50" w:rsidP="007B1A8E">
            <w:pPr>
              <w:spacing w:before="100" w:after="100"/>
              <w:rPr>
                <w:b/>
                <w:i/>
                <w:color w:val="FFFFFF"/>
              </w:rPr>
            </w:pPr>
            <w:r>
              <w:rPr>
                <w:b/>
                <w:color w:val="FFFFFF"/>
              </w:rPr>
              <w:t>2. Experience of proposed individuals</w:t>
            </w:r>
          </w:p>
        </w:tc>
      </w:tr>
      <w:tr w:rsidR="00966A50" w14:paraId="5F7AA2A3" w14:textId="77777777" w:rsidTr="007B1A8E">
        <w:tc>
          <w:tcPr>
            <w:tcW w:w="8522" w:type="dxa"/>
          </w:tcPr>
          <w:p w14:paraId="63364CF0" w14:textId="77777777" w:rsidR="00966A50" w:rsidRDefault="00966A50" w:rsidP="007B1A8E">
            <w:pPr>
              <w:pBdr>
                <w:top w:val="nil"/>
                <w:left w:val="nil"/>
                <w:bottom w:val="nil"/>
                <w:right w:val="nil"/>
                <w:between w:val="nil"/>
              </w:pBdr>
              <w:spacing w:before="100" w:after="100"/>
            </w:pPr>
            <w:r>
              <w:rPr>
                <w:color w:val="000000"/>
              </w:rPr>
              <w:t xml:space="preserve">Please provide a </w:t>
            </w:r>
            <w:proofErr w:type="gramStart"/>
            <w:r>
              <w:rPr>
                <w:color w:val="000000"/>
              </w:rPr>
              <w:t>list, and</w:t>
            </w:r>
            <w:proofErr w:type="gramEnd"/>
            <w:r>
              <w:rPr>
                <w:color w:val="000000"/>
              </w:rPr>
              <w:t xml:space="preserve"> describe t</w:t>
            </w:r>
            <w:r>
              <w:t>he relevant experience</w:t>
            </w:r>
            <w:r>
              <w:rPr>
                <w:color w:val="FF0000"/>
              </w:rPr>
              <w:t xml:space="preserve"> </w:t>
            </w:r>
            <w:r>
              <w:rPr>
                <w:color w:val="000000"/>
              </w:rPr>
              <w:t>of prospective Principal Investigators for research projects</w:t>
            </w:r>
            <w:r>
              <w:t xml:space="preserve">. Please </w:t>
            </w:r>
            <w:r>
              <w:rPr>
                <w:color w:val="000000"/>
              </w:rPr>
              <w:t>also include CVs for up to five key personn</w:t>
            </w:r>
            <w:r>
              <w:t>e</w:t>
            </w:r>
            <w:r>
              <w:rPr>
                <w:color w:val="000000"/>
              </w:rPr>
              <w:t>l.</w:t>
            </w:r>
          </w:p>
          <w:p w14:paraId="35327DF6" w14:textId="77777777" w:rsidR="00966A50" w:rsidRDefault="00966A50" w:rsidP="007B1A8E">
            <w:pPr>
              <w:pBdr>
                <w:top w:val="nil"/>
                <w:left w:val="nil"/>
                <w:bottom w:val="nil"/>
                <w:right w:val="nil"/>
                <w:between w:val="nil"/>
              </w:pBdr>
              <w:spacing w:before="100" w:after="100"/>
            </w:pPr>
          </w:p>
          <w:p w14:paraId="6D1719FC" w14:textId="77777777" w:rsidR="00966A50" w:rsidRDefault="00966A50" w:rsidP="007B1A8E">
            <w:pPr>
              <w:pBdr>
                <w:top w:val="nil"/>
                <w:left w:val="nil"/>
                <w:bottom w:val="nil"/>
                <w:right w:val="nil"/>
                <w:between w:val="nil"/>
              </w:pBdr>
              <w:spacing w:before="100" w:after="100"/>
            </w:pPr>
            <w:r>
              <w:t>2 pages max.</w:t>
            </w:r>
          </w:p>
          <w:p w14:paraId="2A4CCDA9" w14:textId="77777777" w:rsidR="00966A50" w:rsidRDefault="00966A50" w:rsidP="007B1A8E">
            <w:pPr>
              <w:pBdr>
                <w:top w:val="nil"/>
                <w:left w:val="nil"/>
                <w:bottom w:val="nil"/>
                <w:right w:val="nil"/>
                <w:between w:val="nil"/>
              </w:pBdr>
              <w:spacing w:before="100" w:after="100"/>
              <w:rPr>
                <w:b/>
              </w:rPr>
            </w:pPr>
            <w:r>
              <w:t>Please include CVs as appendices.</w:t>
            </w:r>
          </w:p>
        </w:tc>
      </w:tr>
      <w:tr w:rsidR="00966A50" w14:paraId="33B2A7D8" w14:textId="77777777" w:rsidTr="007B1A8E">
        <w:tc>
          <w:tcPr>
            <w:tcW w:w="8522" w:type="dxa"/>
          </w:tcPr>
          <w:p w14:paraId="7EBE23AC" w14:textId="77777777" w:rsidR="00966A50" w:rsidRDefault="00966A50" w:rsidP="007B1A8E">
            <w:pPr>
              <w:spacing w:before="100" w:after="100"/>
              <w:rPr>
                <w:b/>
              </w:rPr>
            </w:pPr>
            <w:r>
              <w:rPr>
                <w:b/>
              </w:rPr>
              <w:lastRenderedPageBreak/>
              <w:t>RESPONSE:</w:t>
            </w:r>
          </w:p>
          <w:p w14:paraId="5F6B833B" w14:textId="77777777" w:rsidR="00966A50" w:rsidRDefault="00966A50" w:rsidP="007B1A8E">
            <w:pPr>
              <w:spacing w:before="100" w:after="100"/>
              <w:rPr>
                <w:b/>
              </w:rPr>
            </w:pPr>
          </w:p>
          <w:p w14:paraId="3A96511D" w14:textId="77777777" w:rsidR="00966A50" w:rsidRDefault="00966A50" w:rsidP="007B1A8E">
            <w:pPr>
              <w:spacing w:before="100" w:after="100"/>
              <w:rPr>
                <w:b/>
              </w:rPr>
            </w:pPr>
          </w:p>
        </w:tc>
      </w:tr>
      <w:tr w:rsidR="00966A50" w14:paraId="42724CE5" w14:textId="77777777" w:rsidTr="007B1A8E">
        <w:trPr>
          <w:trHeight w:val="240"/>
        </w:trPr>
        <w:tc>
          <w:tcPr>
            <w:tcW w:w="8522" w:type="dxa"/>
            <w:shd w:val="clear" w:color="auto" w:fill="416CBB"/>
          </w:tcPr>
          <w:p w14:paraId="67DDC8EE" w14:textId="77777777" w:rsidR="00966A50" w:rsidRDefault="00966A50" w:rsidP="007B1A8E">
            <w:pPr>
              <w:spacing w:before="100" w:after="100"/>
              <w:rPr>
                <w:color w:val="FFFFFF"/>
              </w:rPr>
            </w:pPr>
            <w:r>
              <w:rPr>
                <w:b/>
                <w:color w:val="FFFFFF"/>
              </w:rPr>
              <w:t xml:space="preserve">3. Value for money </w:t>
            </w:r>
          </w:p>
        </w:tc>
      </w:tr>
      <w:tr w:rsidR="00966A50" w14:paraId="50A69909" w14:textId="77777777" w:rsidTr="007B1A8E">
        <w:trPr>
          <w:trHeight w:val="5900"/>
        </w:trPr>
        <w:tc>
          <w:tcPr>
            <w:tcW w:w="8522" w:type="dxa"/>
          </w:tcPr>
          <w:p w14:paraId="35FCBF64" w14:textId="77777777" w:rsidR="00966A50" w:rsidRDefault="00966A50" w:rsidP="007B1A8E">
            <w:pPr>
              <w:pBdr>
                <w:top w:val="nil"/>
                <w:left w:val="nil"/>
                <w:bottom w:val="nil"/>
                <w:right w:val="nil"/>
                <w:between w:val="nil"/>
              </w:pBdr>
              <w:spacing w:before="100" w:after="100"/>
              <w:rPr>
                <w:color w:val="000000"/>
              </w:rPr>
            </w:pPr>
            <w:r>
              <w:rPr>
                <w:color w:val="000000"/>
              </w:rPr>
              <w:t>Please provide a rate card:</w:t>
            </w:r>
          </w:p>
          <w:p w14:paraId="3C471CC5" w14:textId="77777777" w:rsidR="00966A50" w:rsidRDefault="00966A50" w:rsidP="007B1A8E">
            <w:pPr>
              <w:pBdr>
                <w:top w:val="nil"/>
                <w:left w:val="nil"/>
                <w:bottom w:val="nil"/>
                <w:right w:val="nil"/>
                <w:between w:val="nil"/>
              </w:pBdr>
              <w:spacing w:before="100" w:after="100"/>
              <w:rPr>
                <w:color w:val="000000"/>
              </w:rPr>
            </w:pPr>
            <w:r>
              <w:rPr>
                <w:color w:val="000000"/>
              </w:rPr>
              <w:t xml:space="preserve">Organisations are asked to provide a day rate card for work commissioned through this Panel, with valid rates for each of the next three years specified. Rates specified on this card will be used for all subsequent evaluations commissioned by the WW-CSC, except in exceptional circumstances. Maximum (as opposed to minimum) rates should be specified. While we will not be setting a cap on day rates or on the proportion of project costs to be spent on evaluation, value for money and ensuring that public funds are put to the best use, will be guiding principles for decisions both on admission to the Panel and on subsequent evaluations. </w:t>
            </w:r>
          </w:p>
          <w:p w14:paraId="0F278950" w14:textId="77777777" w:rsidR="00966A50" w:rsidRDefault="00966A50" w:rsidP="007B1A8E">
            <w:pPr>
              <w:pBdr>
                <w:top w:val="nil"/>
                <w:left w:val="nil"/>
                <w:bottom w:val="nil"/>
                <w:right w:val="nil"/>
                <w:between w:val="nil"/>
              </w:pBdr>
              <w:spacing w:before="100" w:after="100"/>
              <w:rPr>
                <w:color w:val="000000"/>
              </w:rPr>
            </w:pPr>
            <w:r>
              <w:rPr>
                <w:color w:val="000000"/>
              </w:rPr>
              <w:t>Please use the template below (adding as many rows as necessary):</w:t>
            </w:r>
          </w:p>
          <w:p w14:paraId="7ACB6A12" w14:textId="77777777" w:rsidR="00966A50" w:rsidRDefault="00966A50" w:rsidP="007B1A8E">
            <w:pPr>
              <w:pBdr>
                <w:top w:val="nil"/>
                <w:left w:val="nil"/>
                <w:bottom w:val="nil"/>
                <w:right w:val="nil"/>
                <w:between w:val="nil"/>
              </w:pBdr>
              <w:spacing w:before="100" w:after="100"/>
              <w:rPr>
                <w:color w:val="000000"/>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074"/>
              <w:gridCol w:w="2074"/>
              <w:gridCol w:w="2074"/>
            </w:tblGrid>
            <w:tr w:rsidR="00966A50" w14:paraId="22037148" w14:textId="77777777" w:rsidTr="007B1A8E">
              <w:tc>
                <w:tcPr>
                  <w:tcW w:w="2074" w:type="dxa"/>
                </w:tcPr>
                <w:p w14:paraId="68B13497" w14:textId="77777777" w:rsidR="00966A50" w:rsidRDefault="00966A50" w:rsidP="007B1A8E">
                  <w:pPr>
                    <w:pBdr>
                      <w:top w:val="nil"/>
                      <w:left w:val="nil"/>
                      <w:bottom w:val="nil"/>
                      <w:right w:val="nil"/>
                      <w:between w:val="nil"/>
                    </w:pBdr>
                    <w:spacing w:before="100" w:after="100"/>
                    <w:rPr>
                      <w:color w:val="000000"/>
                    </w:rPr>
                  </w:pPr>
                  <w:r>
                    <w:rPr>
                      <w:color w:val="000000"/>
                    </w:rPr>
                    <w:t>Role/ Grade</w:t>
                  </w:r>
                </w:p>
              </w:tc>
              <w:tc>
                <w:tcPr>
                  <w:tcW w:w="2074" w:type="dxa"/>
                </w:tcPr>
                <w:p w14:paraId="713B6F07" w14:textId="77777777" w:rsidR="00966A50" w:rsidRDefault="00966A50" w:rsidP="007B1A8E">
                  <w:pPr>
                    <w:pBdr>
                      <w:top w:val="nil"/>
                      <w:left w:val="nil"/>
                      <w:bottom w:val="nil"/>
                      <w:right w:val="nil"/>
                      <w:between w:val="nil"/>
                    </w:pBdr>
                    <w:spacing w:before="100" w:after="100"/>
                    <w:rPr>
                      <w:color w:val="000000"/>
                    </w:rPr>
                  </w:pPr>
                  <w:r>
                    <w:rPr>
                      <w:color w:val="000000"/>
                    </w:rPr>
                    <w:t>Day rate (2020/21)</w:t>
                  </w:r>
                </w:p>
              </w:tc>
              <w:tc>
                <w:tcPr>
                  <w:tcW w:w="2074" w:type="dxa"/>
                </w:tcPr>
                <w:p w14:paraId="101F4825" w14:textId="77777777" w:rsidR="00966A50" w:rsidRDefault="00966A50" w:rsidP="007B1A8E">
                  <w:pPr>
                    <w:pBdr>
                      <w:top w:val="nil"/>
                      <w:left w:val="nil"/>
                      <w:bottom w:val="nil"/>
                      <w:right w:val="nil"/>
                      <w:between w:val="nil"/>
                    </w:pBdr>
                    <w:spacing w:before="100" w:after="100"/>
                    <w:rPr>
                      <w:color w:val="000000"/>
                    </w:rPr>
                  </w:pPr>
                  <w:r>
                    <w:rPr>
                      <w:color w:val="000000"/>
                    </w:rPr>
                    <w:t>Day rate (2021/22)</w:t>
                  </w:r>
                </w:p>
              </w:tc>
              <w:tc>
                <w:tcPr>
                  <w:tcW w:w="2074" w:type="dxa"/>
                </w:tcPr>
                <w:p w14:paraId="1B1F7CCC" w14:textId="77777777" w:rsidR="00966A50" w:rsidRDefault="00966A50" w:rsidP="007B1A8E">
                  <w:pPr>
                    <w:pBdr>
                      <w:top w:val="nil"/>
                      <w:left w:val="nil"/>
                      <w:bottom w:val="nil"/>
                      <w:right w:val="nil"/>
                      <w:between w:val="nil"/>
                    </w:pBdr>
                    <w:spacing w:before="100" w:after="100"/>
                    <w:rPr>
                      <w:color w:val="000000"/>
                    </w:rPr>
                  </w:pPr>
                  <w:r>
                    <w:rPr>
                      <w:color w:val="000000"/>
                    </w:rPr>
                    <w:t>Day rate (2022/23)</w:t>
                  </w:r>
                </w:p>
              </w:tc>
            </w:tr>
            <w:tr w:rsidR="00966A50" w14:paraId="75453DC2" w14:textId="77777777" w:rsidTr="007B1A8E">
              <w:tc>
                <w:tcPr>
                  <w:tcW w:w="2074" w:type="dxa"/>
                </w:tcPr>
                <w:p w14:paraId="791DA275" w14:textId="77777777" w:rsidR="00966A50" w:rsidRDefault="00966A50" w:rsidP="007B1A8E">
                  <w:pPr>
                    <w:pBdr>
                      <w:top w:val="nil"/>
                      <w:left w:val="nil"/>
                      <w:bottom w:val="nil"/>
                      <w:right w:val="nil"/>
                      <w:between w:val="nil"/>
                    </w:pBdr>
                    <w:spacing w:before="100" w:after="100"/>
                    <w:rPr>
                      <w:color w:val="000000"/>
                    </w:rPr>
                  </w:pPr>
                </w:p>
              </w:tc>
              <w:tc>
                <w:tcPr>
                  <w:tcW w:w="2074" w:type="dxa"/>
                </w:tcPr>
                <w:p w14:paraId="00EE5167" w14:textId="77777777" w:rsidR="00966A50" w:rsidRDefault="00966A50" w:rsidP="007B1A8E">
                  <w:pPr>
                    <w:pBdr>
                      <w:top w:val="nil"/>
                      <w:left w:val="nil"/>
                      <w:bottom w:val="nil"/>
                      <w:right w:val="nil"/>
                      <w:between w:val="nil"/>
                    </w:pBdr>
                    <w:spacing w:before="100" w:after="100"/>
                    <w:rPr>
                      <w:color w:val="000000"/>
                    </w:rPr>
                  </w:pPr>
                </w:p>
              </w:tc>
              <w:tc>
                <w:tcPr>
                  <w:tcW w:w="2074" w:type="dxa"/>
                </w:tcPr>
                <w:p w14:paraId="51B5894D" w14:textId="77777777" w:rsidR="00966A50" w:rsidRDefault="00966A50" w:rsidP="007B1A8E">
                  <w:pPr>
                    <w:pBdr>
                      <w:top w:val="nil"/>
                      <w:left w:val="nil"/>
                      <w:bottom w:val="nil"/>
                      <w:right w:val="nil"/>
                      <w:between w:val="nil"/>
                    </w:pBdr>
                    <w:spacing w:before="100" w:after="100"/>
                    <w:rPr>
                      <w:color w:val="000000"/>
                    </w:rPr>
                  </w:pPr>
                </w:p>
              </w:tc>
              <w:tc>
                <w:tcPr>
                  <w:tcW w:w="2074" w:type="dxa"/>
                </w:tcPr>
                <w:p w14:paraId="3C61213F" w14:textId="77777777" w:rsidR="00966A50" w:rsidRDefault="00966A50" w:rsidP="007B1A8E">
                  <w:pPr>
                    <w:pBdr>
                      <w:top w:val="nil"/>
                      <w:left w:val="nil"/>
                      <w:bottom w:val="nil"/>
                      <w:right w:val="nil"/>
                      <w:between w:val="nil"/>
                    </w:pBdr>
                    <w:spacing w:before="100" w:after="100"/>
                    <w:rPr>
                      <w:color w:val="000000"/>
                    </w:rPr>
                  </w:pPr>
                </w:p>
              </w:tc>
            </w:tr>
            <w:tr w:rsidR="00966A50" w14:paraId="1E09EBBD" w14:textId="77777777" w:rsidTr="007B1A8E">
              <w:tc>
                <w:tcPr>
                  <w:tcW w:w="2074" w:type="dxa"/>
                </w:tcPr>
                <w:p w14:paraId="7C5F2D70" w14:textId="77777777" w:rsidR="00966A50" w:rsidRDefault="00966A50" w:rsidP="007B1A8E">
                  <w:pPr>
                    <w:pBdr>
                      <w:top w:val="nil"/>
                      <w:left w:val="nil"/>
                      <w:bottom w:val="nil"/>
                      <w:right w:val="nil"/>
                      <w:between w:val="nil"/>
                    </w:pBdr>
                    <w:spacing w:before="100" w:after="100"/>
                    <w:rPr>
                      <w:color w:val="000000"/>
                    </w:rPr>
                  </w:pPr>
                </w:p>
              </w:tc>
              <w:tc>
                <w:tcPr>
                  <w:tcW w:w="2074" w:type="dxa"/>
                </w:tcPr>
                <w:p w14:paraId="6A5F2C87" w14:textId="77777777" w:rsidR="00966A50" w:rsidRDefault="00966A50" w:rsidP="007B1A8E">
                  <w:pPr>
                    <w:pBdr>
                      <w:top w:val="nil"/>
                      <w:left w:val="nil"/>
                      <w:bottom w:val="nil"/>
                      <w:right w:val="nil"/>
                      <w:between w:val="nil"/>
                    </w:pBdr>
                    <w:spacing w:before="100" w:after="100"/>
                    <w:rPr>
                      <w:color w:val="000000"/>
                    </w:rPr>
                  </w:pPr>
                </w:p>
              </w:tc>
              <w:tc>
                <w:tcPr>
                  <w:tcW w:w="2074" w:type="dxa"/>
                </w:tcPr>
                <w:p w14:paraId="603C2735" w14:textId="77777777" w:rsidR="00966A50" w:rsidRDefault="00966A50" w:rsidP="007B1A8E">
                  <w:pPr>
                    <w:pBdr>
                      <w:top w:val="nil"/>
                      <w:left w:val="nil"/>
                      <w:bottom w:val="nil"/>
                      <w:right w:val="nil"/>
                      <w:between w:val="nil"/>
                    </w:pBdr>
                    <w:spacing w:before="100" w:after="100"/>
                    <w:rPr>
                      <w:color w:val="000000"/>
                    </w:rPr>
                  </w:pPr>
                </w:p>
              </w:tc>
              <w:tc>
                <w:tcPr>
                  <w:tcW w:w="2074" w:type="dxa"/>
                </w:tcPr>
                <w:p w14:paraId="7EB9193B" w14:textId="77777777" w:rsidR="00966A50" w:rsidRDefault="00966A50" w:rsidP="007B1A8E">
                  <w:pPr>
                    <w:pBdr>
                      <w:top w:val="nil"/>
                      <w:left w:val="nil"/>
                      <w:bottom w:val="nil"/>
                      <w:right w:val="nil"/>
                      <w:between w:val="nil"/>
                    </w:pBdr>
                    <w:spacing w:before="100" w:after="100"/>
                    <w:rPr>
                      <w:color w:val="000000"/>
                    </w:rPr>
                  </w:pPr>
                </w:p>
              </w:tc>
            </w:tr>
          </w:tbl>
          <w:p w14:paraId="7DA57C83" w14:textId="77777777" w:rsidR="00966A50" w:rsidRDefault="00966A50" w:rsidP="007B1A8E">
            <w:pPr>
              <w:spacing w:before="100" w:after="100"/>
              <w:rPr>
                <w:b/>
              </w:rPr>
            </w:pPr>
          </w:p>
        </w:tc>
      </w:tr>
      <w:tr w:rsidR="00966A50" w14:paraId="064C0C4B" w14:textId="77777777" w:rsidTr="007B1A8E">
        <w:trPr>
          <w:trHeight w:val="240"/>
        </w:trPr>
        <w:tc>
          <w:tcPr>
            <w:tcW w:w="8522" w:type="dxa"/>
            <w:shd w:val="clear" w:color="auto" w:fill="416CBB"/>
          </w:tcPr>
          <w:p w14:paraId="2249DA65" w14:textId="77777777" w:rsidR="00966A50" w:rsidRDefault="00966A50" w:rsidP="007B1A8E">
            <w:pPr>
              <w:spacing w:before="100" w:after="100"/>
              <w:rPr>
                <w:b/>
                <w:color w:val="FFFFFF"/>
              </w:rPr>
            </w:pPr>
            <w:r>
              <w:rPr>
                <w:b/>
                <w:color w:val="FFFFFF"/>
              </w:rPr>
              <w:t>4. Conflicts of Interest:</w:t>
            </w:r>
          </w:p>
        </w:tc>
      </w:tr>
      <w:tr w:rsidR="00966A50" w14:paraId="50E13797" w14:textId="77777777" w:rsidTr="007B1A8E">
        <w:tc>
          <w:tcPr>
            <w:tcW w:w="8522" w:type="dxa"/>
          </w:tcPr>
          <w:p w14:paraId="2E80442E" w14:textId="77777777" w:rsidR="00966A50" w:rsidRDefault="00966A50" w:rsidP="007B1A8E">
            <w:pPr>
              <w:spacing w:before="100" w:after="100"/>
            </w:pPr>
            <w:r>
              <w:t>Please confirm if you are aware of any potential or actual conflicts of interest which may prevent you from working with What Works for Children’s Social Care. If you consider a conflict may exist; please provide details in your response.</w:t>
            </w:r>
          </w:p>
          <w:p w14:paraId="09C475A0" w14:textId="77777777" w:rsidR="00966A50" w:rsidRDefault="00966A50" w:rsidP="007B1A8E">
            <w:pPr>
              <w:spacing w:before="100" w:after="100"/>
              <w:rPr>
                <w:highlight w:val="yellow"/>
              </w:rPr>
            </w:pPr>
            <w:r>
              <w:t>Where conflicts of interest are identified What Works for Children’s Social Care reserves the right to exclude the supplier from further participation in this tender process.</w:t>
            </w:r>
          </w:p>
        </w:tc>
      </w:tr>
      <w:tr w:rsidR="00966A50" w14:paraId="6D932492" w14:textId="77777777" w:rsidTr="007B1A8E">
        <w:tc>
          <w:tcPr>
            <w:tcW w:w="8522" w:type="dxa"/>
          </w:tcPr>
          <w:p w14:paraId="6B1E8C19" w14:textId="77777777" w:rsidR="00966A50" w:rsidRDefault="00966A50" w:rsidP="007B1A8E">
            <w:pPr>
              <w:spacing w:before="100" w:after="100"/>
              <w:rPr>
                <w:b/>
                <w:color w:val="FF0000"/>
              </w:rPr>
            </w:pPr>
            <w:r>
              <w:rPr>
                <w:b/>
              </w:rPr>
              <w:t xml:space="preserve">SUPPLIER RESPONSE: </w:t>
            </w:r>
          </w:p>
          <w:p w14:paraId="0DF178AC" w14:textId="77777777" w:rsidR="00966A50" w:rsidRDefault="00966A50" w:rsidP="007B1A8E">
            <w:pPr>
              <w:spacing w:before="100" w:after="100"/>
              <w:rPr>
                <w:highlight w:val="yellow"/>
              </w:rPr>
            </w:pPr>
          </w:p>
          <w:p w14:paraId="03AF0D05" w14:textId="77777777" w:rsidR="00966A50" w:rsidRDefault="00966A50" w:rsidP="007B1A8E">
            <w:pPr>
              <w:spacing w:before="100" w:after="100"/>
              <w:rPr>
                <w:highlight w:val="yellow"/>
              </w:rPr>
            </w:pPr>
          </w:p>
        </w:tc>
      </w:tr>
    </w:tbl>
    <w:p w14:paraId="3EFB5E28" w14:textId="77777777" w:rsidR="00A810E8" w:rsidRDefault="00A810E8">
      <w:bookmarkStart w:id="0" w:name="_GoBack"/>
      <w:bookmarkEnd w:id="0"/>
    </w:p>
    <w:sectPr w:rsidR="00A81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45CD0"/>
    <w:multiLevelType w:val="multilevel"/>
    <w:tmpl w:val="DE3430CA"/>
    <w:lvl w:ilvl="0">
      <w:start w:val="1"/>
      <w:numFmt w:val="decimal"/>
      <w:lvlText w:val="%1."/>
      <w:lvlJc w:val="left"/>
      <w:pPr>
        <w:ind w:left="360" w:hanging="360"/>
      </w:pPr>
      <w:rPr>
        <w:b/>
      </w:rPr>
    </w:lvl>
    <w:lvl w:ilvl="1">
      <w:start w:val="1"/>
      <w:numFmt w:val="decimal"/>
      <w:lvlText w:val="%1.%2"/>
      <w:lvlJc w:val="left"/>
      <w:pPr>
        <w:ind w:left="1440" w:hanging="720"/>
      </w:pPr>
    </w:lvl>
    <w:lvl w:ilvl="2">
      <w:start w:val="1"/>
      <w:numFmt w:val="decimal"/>
      <w:lvlText w:val="%1.%2.%3"/>
      <w:lvlJc w:val="left"/>
      <w:pPr>
        <w:ind w:left="72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 w15:restartNumberingAfterBreak="0">
    <w:nsid w:val="54A57E9E"/>
    <w:multiLevelType w:val="multilevel"/>
    <w:tmpl w:val="8028E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50"/>
    <w:rsid w:val="00966A50"/>
    <w:rsid w:val="00A8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E235"/>
  <w15:chartTrackingRefBased/>
  <w15:docId w15:val="{8AB1FDB9-4169-43D4-86B0-87D72E66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66A50"/>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Parry</dc:creator>
  <cp:keywords/>
  <dc:description/>
  <cp:lastModifiedBy>Georgia Parry</cp:lastModifiedBy>
  <cp:revision>1</cp:revision>
  <dcterms:created xsi:type="dcterms:W3CDTF">2020-03-02T10:29:00Z</dcterms:created>
  <dcterms:modified xsi:type="dcterms:W3CDTF">2020-03-02T10:30:00Z</dcterms:modified>
</cp:coreProperties>
</file>